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v1axv68gvwx2" w:id="0"/>
      <w:bookmarkEnd w:id="0"/>
      <w:r w:rsidDel="00000000" w:rsidR="00000000" w:rsidRPr="00000000">
        <w:rPr>
          <w:rtl w:val="0"/>
        </w:rPr>
        <w:t xml:space="preserve">Vendor AI Assessment Checklist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Vendor name:</w:t>
      </w:r>
      <w:r w:rsidDel="00000000" w:rsidR="00000000" w:rsidRPr="00000000">
        <w:rPr>
          <w:rtl w:val="0"/>
        </w:rPr>
        <w:t xml:space="preserve"> [Name] </w:t>
      </w:r>
      <w:r w:rsidDel="00000000" w:rsidR="00000000" w:rsidRPr="00000000">
        <w:rPr>
          <w:b w:val="1"/>
          <w:bCs w:val="1"/>
          <w:rtl w:val="0"/>
        </w:rPr>
        <w:t xml:space="preserve">Product / service:</w:t>
      </w:r>
      <w:r w:rsidDel="00000000" w:rsidR="00000000" w:rsidRPr="00000000">
        <w:rPr>
          <w:rtl w:val="0"/>
        </w:rPr>
        <w:t xml:space="preserve"> [Name] </w:t>
      </w:r>
      <w:r w:rsidDel="00000000" w:rsidR="00000000" w:rsidRPr="00000000">
        <w:rPr>
          <w:b w:val="1"/>
          <w:bCs w:val="1"/>
          <w:rtl w:val="0"/>
        </w:rPr>
        <w:t xml:space="preserve">Assessed by:</w:t>
      </w:r>
      <w:r w:rsidDel="00000000" w:rsidR="00000000" w:rsidRPr="00000000">
        <w:rPr>
          <w:rtl w:val="0"/>
        </w:rPr>
        <w:t xml:space="preserve"> [Name and role] </w:t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[Date]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Complete this checklist alongside the standard Use Case Registration Form for any vendor-procured AI system.</w:t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76urc3eenjjw" w:id="1"/>
      <w:bookmarkEnd w:id="1"/>
      <w:r w:rsidDel="00000000" w:rsidR="00000000" w:rsidRPr="00000000">
        <w:rPr>
          <w:rtl w:val="0"/>
        </w:rPr>
        <w:t xml:space="preserve">Transparency and Documentation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Vendor provides a model card or equivalent documentation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Vendor can explain how the model was trained, what data was used, and what its known limitations are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Vendor publishes bias testing or fairness audit results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Vendor is transparent about sub-processors and third-party model use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euw1oeakpbrm" w:id="2"/>
      <w:bookmarkEnd w:id="2"/>
      <w:r w:rsidDel="00000000" w:rsidR="00000000" w:rsidRPr="00000000">
        <w:rPr>
          <w:rtl w:val="0"/>
        </w:rPr>
        <w:t xml:space="preserve">Data Practices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Data storage and processing locations are documented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Customer data use for model training is clearly disclosed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Organization can opt out of data use for model training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Data retention and deletion policies are documented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Vendor handles data subject rights (access, deletion, correction)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Data flows between the vendor and third parties are mapped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bCs w:val="1"/>
          <w:rtl w:val="0"/>
        </w:rPr>
        <w:t xml:space="preserve">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rPr/>
      </w:pPr>
      <w:bookmarkStart w:colFirst="0" w:colLast="0" w:name="_m12no657roo2" w:id="3"/>
      <w:bookmarkEnd w:id="3"/>
      <w:r w:rsidDel="00000000" w:rsidR="00000000" w:rsidRPr="00000000">
        <w:rPr>
          <w:rtl w:val="0"/>
        </w:rPr>
        <w:t xml:space="preserve">Security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Vendor holds SOC 2, ISO 27001, or equivalent certification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Vendor has performed adversarial testing (red-teaming, prompt injection testing for generative AI)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Vulnerability disclosure and patching process is documented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Vendor has a defined incident response process and notification timeline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bCs w:val="1"/>
          <w:rtl w:val="0"/>
        </w:rPr>
        <w:t xml:space="preserve">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rPr/>
      </w:pPr>
      <w:bookmarkStart w:colFirst="0" w:colLast="0" w:name="_r9fwhf4xqomu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/>
      </w:pPr>
      <w:bookmarkStart w:colFirst="0" w:colLast="0" w:name="_pcswxabk7264" w:id="5"/>
      <w:bookmarkEnd w:id="5"/>
      <w:r w:rsidDel="00000000" w:rsidR="00000000" w:rsidRPr="00000000">
        <w:rPr>
          <w:rtl w:val="0"/>
        </w:rPr>
        <w:t xml:space="preserve">Contractual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Contract provides audit rights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Liability and indemnification terms address AI-specific harms (bias, hallucination, data leakage)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Organization can exit the contract and retrieve or delete its data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Service levels cover model performance and availability, not just uptime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Contract addresses what happens when the vendor changes or discontinues the model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Notes: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rPr/>
      </w:pPr>
      <w:bookmarkStart w:colFirst="0" w:colLast="0" w:name="_alskxebvgz0h" w:id="6"/>
      <w:bookmarkEnd w:id="6"/>
      <w:r w:rsidDel="00000000" w:rsidR="00000000" w:rsidRPr="00000000">
        <w:rPr>
          <w:rtl w:val="0"/>
        </w:rPr>
        <w:t xml:space="preserve">Onboarding Checklist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Deployed configuration matches what was assessed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Customizations, fine-tuning, or prompt engineering is documented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Guardrails, content filters, and access controls are enabled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Affected users are informed about the AI, its purpose, and limitations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Appropriate use guidance is published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User feedback channel is established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System is added to the AI Inventory with vendor-specific fields</w:t>
      </w:r>
    </w:p>
    <w:p w:rsidR="00000000" w:rsidDel="00000000" w:rsidP="00000000" w:rsidRDefault="00000000" w:rsidRPr="00000000" w14:paraId="0000002D">
      <w:pPr>
        <w:pStyle w:val="Heading2"/>
        <w:rPr/>
      </w:pPr>
      <w:bookmarkStart w:colFirst="0" w:colLast="0" w:name="_h4azqatwelyk" w:id="7"/>
      <w:bookmarkEnd w:id="7"/>
      <w:r w:rsidDel="00000000" w:rsidR="00000000" w:rsidRPr="00000000">
        <w:rPr>
          <w:rtl w:val="0"/>
        </w:rPr>
        <w:t xml:space="preserve">Risk Tiering Note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Vendor cases should not receive a lower risk tier simply because the AI is third-party. Reduced visibility into model internals may warrant a higher tier than an equivalent in-house system.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b w:val="1"/>
          <w:bCs w:val="1"/>
          <w:rtl w:val="0"/>
        </w:rPr>
        <w:t xml:space="preserve">Risk tier assigned:</w:t>
      </w:r>
      <w:r w:rsidDel="00000000" w:rsidR="00000000" w:rsidRPr="00000000">
        <w:rPr>
          <w:rtl w:val="0"/>
        </w:rPr>
        <w:t xml:space="preserve"> [ ] Tier 1 [ ] Tier 2 [ ] Tier 3 [ ] Tier 4</w:t>
      </w:r>
    </w:p>
    <w:p w:rsidR="00000000" w:rsidDel="00000000" w:rsidP="00000000" w:rsidRDefault="00000000" w:rsidRPr="00000000" w14:paraId="00000031">
      <w:pPr>
        <w:pStyle w:val="Heading2"/>
        <w:rPr/>
      </w:pPr>
      <w:bookmarkStart w:colFirst="0" w:colLast="0" w:name="_b9of29uwwskx" w:id="8"/>
      <w:bookmarkEnd w:id="8"/>
      <w:r w:rsidDel="00000000" w:rsidR="00000000" w:rsidRPr="00000000">
        <w:rPr>
          <w:rtl w:val="0"/>
        </w:rPr>
        <w:t xml:space="preserve">Overall Assessment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bCs w:val="1"/>
          <w:rtl w:val="0"/>
        </w:rPr>
        <w:t xml:space="preserve">Recommendation:</w:t>
      </w:r>
      <w:r w:rsidDel="00000000" w:rsidR="00000000" w:rsidRPr="00000000">
        <w:rPr>
          <w:rtl w:val="0"/>
        </w:rPr>
        <w:t xml:space="preserve"> [ ] Proceed to onboarding [ ] Proceed with conditions [ ] Do not proceed [ ] Need more information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bCs w:val="1"/>
          <w:rtl w:val="0"/>
        </w:rPr>
        <w:t xml:space="preserve">Conditions (if any):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bCs w:val="1"/>
          <w:rtl w:val="0"/>
        </w:rPr>
        <w:t xml:space="preserve">Assessed by:</w:t>
      </w:r>
      <w:r w:rsidDel="00000000" w:rsidR="00000000" w:rsidRPr="00000000">
        <w:rPr>
          <w:rtl w:val="0"/>
        </w:rPr>
        <w:t xml:space="preserve"> [Signature / name] </w:t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[Date]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Inter SemiBold" w:cs="Inter SemiBold" w:eastAsia="Inter SemiBold" w:hAnsi="Inter SemiBold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Inter SemiBold" w:cs="Inter SemiBold" w:eastAsia="Inter SemiBold" w:hAnsi="Inter SemiBold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SemiBold-regular.ttf"/><Relationship Id="rId2" Type="http://schemas.openxmlformats.org/officeDocument/2006/relationships/font" Target="fonts/InterSemiBold-bold.ttf"/><Relationship Id="rId3" Type="http://schemas.openxmlformats.org/officeDocument/2006/relationships/font" Target="fonts/InterSemiBold-italic.ttf"/><Relationship Id="rId4" Type="http://schemas.openxmlformats.org/officeDocument/2006/relationships/font" Target="fonts/InterSemiBold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